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68" w:rsidRDefault="00A2654F">
      <w:r>
        <w:rPr>
          <w:noProof/>
          <w:lang w:eastAsia="es-CL"/>
        </w:rPr>
        <w:drawing>
          <wp:inline distT="0" distB="0" distL="0" distR="0">
            <wp:extent cx="1733550" cy="590550"/>
            <wp:effectExtent l="19050" t="0" r="0" b="0"/>
            <wp:docPr id="2" name="0 Imagen" descr="logospng (1).png"/>
            <wp:cNvGraphicFramePr/>
            <a:graphic xmlns:a="http://schemas.openxmlformats.org/drawingml/2006/main">
              <a:graphicData uri="http://schemas.openxmlformats.org/drawingml/2006/picture">
                <pic:pic xmlns:pic="http://schemas.openxmlformats.org/drawingml/2006/picture">
                  <pic:nvPicPr>
                    <pic:cNvPr id="2" name="0 Imagen" descr="logospng (1).png"/>
                    <pic:cNvPicPr/>
                  </pic:nvPicPr>
                  <pic:blipFill>
                    <a:blip r:embed="rId6"/>
                    <a:stretch>
                      <a:fillRect/>
                    </a:stretch>
                  </pic:blipFill>
                  <pic:spPr>
                    <a:xfrm>
                      <a:off x="0" y="0"/>
                      <a:ext cx="1733550" cy="590550"/>
                    </a:xfrm>
                    <a:prstGeom prst="rect">
                      <a:avLst/>
                    </a:prstGeom>
                  </pic:spPr>
                </pic:pic>
              </a:graphicData>
            </a:graphic>
          </wp:inline>
        </w:drawing>
      </w:r>
    </w:p>
    <w:p w:rsidR="002B77F5" w:rsidRDefault="002B77F5" w:rsidP="002B77F5">
      <w:pPr>
        <w:pBdr>
          <w:bottom w:val="single" w:sz="12" w:space="1" w:color="auto"/>
        </w:pBdr>
        <w:shd w:val="clear" w:color="auto" w:fill="FFFFFF" w:themeFill="background1"/>
        <w:jc w:val="center"/>
        <w:rPr>
          <w:rFonts w:ascii="Arial" w:hAnsi="Arial" w:cs="Arial"/>
          <w:b/>
        </w:rPr>
      </w:pPr>
      <w:r>
        <w:rPr>
          <w:rFonts w:ascii="Arial" w:hAnsi="Arial" w:cs="Arial"/>
          <w:b/>
        </w:rPr>
        <w:t>DIRECCIÓN ACADÉMICA</w:t>
      </w:r>
    </w:p>
    <w:p w:rsidR="002B77F5" w:rsidRDefault="00883561" w:rsidP="002B77F5">
      <w:pPr>
        <w:pBdr>
          <w:bottom w:val="single" w:sz="12" w:space="1" w:color="auto"/>
        </w:pBdr>
        <w:jc w:val="center"/>
        <w:rPr>
          <w:rFonts w:ascii="Arial" w:hAnsi="Arial" w:cs="Arial"/>
          <w:b/>
        </w:rPr>
      </w:pPr>
      <w:r>
        <w:rPr>
          <w:rFonts w:ascii="Arial" w:hAnsi="Arial" w:cs="Arial"/>
          <w:b/>
        </w:rPr>
        <w:t>DEPARTAMENTO DE CONTABILIDAD</w:t>
      </w:r>
    </w:p>
    <w:p w:rsidR="002B77F5" w:rsidRPr="002B77F5" w:rsidRDefault="002B77F5" w:rsidP="002B77F5">
      <w:pPr>
        <w:jc w:val="center"/>
        <w:rPr>
          <w:rFonts w:ascii="Arial" w:hAnsi="Arial" w:cs="Arial"/>
          <w:b/>
          <w:sz w:val="18"/>
        </w:rPr>
      </w:pPr>
      <w:r>
        <w:rPr>
          <w:rFonts w:ascii="Arial" w:hAnsi="Arial" w:cs="Arial"/>
          <w:b/>
          <w:sz w:val="18"/>
        </w:rPr>
        <w:t xml:space="preserve">Respeto – Responsabilidad – </w:t>
      </w:r>
      <w:proofErr w:type="spellStart"/>
      <w:r>
        <w:rPr>
          <w:rFonts w:ascii="Arial" w:hAnsi="Arial" w:cs="Arial"/>
          <w:b/>
          <w:sz w:val="18"/>
        </w:rPr>
        <w:t>Resiliencia</w:t>
      </w:r>
      <w:proofErr w:type="spellEnd"/>
      <w:r w:rsidR="005646EC">
        <w:rPr>
          <w:rFonts w:ascii="Arial" w:hAnsi="Arial" w:cs="Arial"/>
          <w:b/>
          <w:sz w:val="18"/>
        </w:rPr>
        <w:t xml:space="preserve"> </w:t>
      </w:r>
      <w:r>
        <w:rPr>
          <w:rFonts w:ascii="Arial" w:hAnsi="Arial" w:cs="Arial"/>
          <w:b/>
          <w:sz w:val="18"/>
        </w:rPr>
        <w:t xml:space="preserve"> – Tolerancia </w:t>
      </w:r>
    </w:p>
    <w:p w:rsidR="002B77F5" w:rsidRDefault="00972B6C">
      <w:r>
        <w:rPr>
          <w:noProof/>
          <w:lang w:eastAsia="es-CL"/>
        </w:rPr>
        <w:pict>
          <v:roundrect id="1 Rectángulo redondeado" o:spid="_x0000_s1026" style="position:absolute;margin-left:-22.8pt;margin-top:1.2pt;width:484.5pt;height:172.5pt;z-index:-2516587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HnlgIAAH8FAAAOAAAAZHJzL2Uyb0RvYy54bWysVM1u2zAMvg/YOwi6r7azpl2DOkXQosOA&#10;oivaDj0rshQbkEWNUuJkb7Nn2YuNku0k6IodhuWgkCb58Z+XV9vWsI1C34AteXGSc6ashKqxq5J/&#10;e7798IkzH4SthAGrSr5Tnl/N37+77NxMTaAGUylkBGL9rHMlr0Nwsyzzslat8CfglCWhBmxFIBZX&#10;WYWiI/TWZJM8P8s6wMohSOU9fb3phXye8LVWMnzV2qvATMkptpBeTO8yvtn8UsxWKFzdyCEM8Q9R&#10;tKKx5HQPdSOCYGts/oBqG4ngQYcTCW0GWjdSpRwomyJ/lc1TLZxKuVBxvNuXyf8/WHm/eUDWVNQ7&#10;zqxoqUUFe6Sy/fppV2sDDFUFtlKiglirzvkZmTy5Bxw4T2RMfKuxjf+UEtum+u729VXbwCR9PCum&#10;H4sptUGSbFJc5OfEEE52MHfow2cFLYtEyRHWtorhpOKKzZ0Pvf6oF116ME112xiTmDg56tog2wjq&#10;+XJVDB6OtLKYRh94osLOqGhr7KPSVAwKdZIcpjE8gAkplQ1FL6pFpXof05x+o5fRfcoqAUZkTdHt&#10;sQeAUbMHGbH79Ab9aKrSFO+N878F1hvvLZJnsGFv3DYW8C0AQ1kNnnt9Cv+oNJFcQrWjUUHod8g7&#10;edtQj+6EDw8CaWmor3QIwld6tIGu5DBQnNWAP976HvVplknKWUdLWHL/fS1QcWa+WJryi+L0NG5t&#10;Yk6n5xNi8FiyPJbYdXsN1HOaZIoukVE/mJHUCO0L3YtF9EoiYSX5LrkMODLXoT8OdHGkWiySGm2q&#10;E+HOPjkZwWNV4/g9b18EumFQA834PYwLK2avRrXXjZYWFusAuklzfKjrUG/a8jQ4w0WKZ+SYT1qH&#10;uzn/DQAA//8DAFBLAwQUAAYACAAAACEAYRCz6OEAAAAKAQAADwAAAGRycy9kb3ducmV2LnhtbEyP&#10;y07DMBBF90j8gzVI7FqHNH0Q4lQRAgmxa2mR2LnxNIkaj6PYaVO+nmEFu3kc3TmTrUfbijP2vnGk&#10;4GEagUAqnWmoUrD7eJ2sQPigyejWESq4ood1fnuT6dS4C23wvA2V4BDyqVZQh9ClUvqyRqv91HVI&#10;vDu63urAbV9J0+sLh9tWxlG0kFY3xBdq3eFzjeVpO1gFg/s+fb7vV8Ux3r9di93LvPL4pdT93Vg8&#10;gQg4hj8YfvVZHXJ2OriBjBetgkkyXzCqYBYnIBh4jGdcHHiwXCYg80z+fyH/AQAA//8DAFBLAQIt&#10;ABQABgAIAAAAIQC2gziS/gAAAOEBAAATAAAAAAAAAAAAAAAAAAAAAABbQ29udGVudF9UeXBlc10u&#10;eG1sUEsBAi0AFAAGAAgAAAAhADj9If/WAAAAlAEAAAsAAAAAAAAAAAAAAAAALwEAAF9yZWxzLy5y&#10;ZWxzUEsBAi0AFAAGAAgAAAAhAIqAgeeWAgAAfwUAAA4AAAAAAAAAAAAAAAAALgIAAGRycy9lMm9E&#10;b2MueG1sUEsBAi0AFAAGAAgAAAAhAGEQs+jhAAAACgEAAA8AAAAAAAAAAAAAAAAA8AQAAGRycy9k&#10;b3ducmV2LnhtbFBLBQYAAAAABAAEAPMAAAD+BQAAAAA=&#10;" fillcolor="white [3212]" strokecolor="#243f60 [1604]" strokeweight="2pt"/>
        </w:pict>
      </w:r>
    </w:p>
    <w:p w:rsidR="002B77F5" w:rsidRDefault="002B77F5" w:rsidP="002B77F5">
      <w:r>
        <w:t>TEMA</w:t>
      </w:r>
      <w:proofErr w:type="gramStart"/>
      <w:r>
        <w:t>:</w:t>
      </w:r>
      <w:r w:rsidR="00A02811">
        <w:t xml:space="preserve">  Guía</w:t>
      </w:r>
      <w:proofErr w:type="gramEnd"/>
      <w:r w:rsidR="00A02811">
        <w:t xml:space="preserve"> </w:t>
      </w:r>
      <w:r w:rsidR="004829E3">
        <w:t xml:space="preserve"> N° 3</w:t>
      </w:r>
      <w:r w:rsidR="00302A91">
        <w:t xml:space="preserve"> </w:t>
      </w:r>
      <w:r w:rsidR="005646EC">
        <w:t xml:space="preserve"> </w:t>
      </w:r>
      <w:r w:rsidR="00A02811">
        <w:t xml:space="preserve">de módulo  Cálculo y Registro de Remuneraciones </w:t>
      </w:r>
      <w:r w:rsidR="005646EC">
        <w:t>,</w:t>
      </w:r>
      <w:r w:rsidR="00B66CF2">
        <w:t xml:space="preserve"> </w:t>
      </w:r>
      <w:r w:rsidR="00A02811">
        <w:t xml:space="preserve">para </w:t>
      </w:r>
      <w:r w:rsidR="00B66CF2">
        <w:t>desarrollar en</w:t>
      </w:r>
      <w:r w:rsidR="00A02811">
        <w:t xml:space="preserve"> casa.</w:t>
      </w:r>
    </w:p>
    <w:p w:rsidR="002B77F5" w:rsidRDefault="002B77F5" w:rsidP="002B77F5"/>
    <w:p w:rsidR="002B77F5" w:rsidRDefault="002B77F5" w:rsidP="002B77F5">
      <w:r>
        <w:t>Nombre: _________</w:t>
      </w:r>
      <w:r w:rsidR="00B66CF2">
        <w:t>__________________________</w:t>
      </w:r>
      <w:r>
        <w:t>Curso _</w:t>
      </w:r>
      <w:r w:rsidR="00B66CF2">
        <w:t>3°</w:t>
      </w:r>
      <w:r w:rsidR="000F282D">
        <w:t xml:space="preserve"> A  Fecha: </w:t>
      </w:r>
      <w:r w:rsidR="0008570B">
        <w:t xml:space="preserve">   05 / 2020.-</w:t>
      </w:r>
    </w:p>
    <w:p w:rsidR="002B77F5" w:rsidRDefault="002B77F5" w:rsidP="00AD2130">
      <w:pPr>
        <w:spacing w:line="240" w:lineRule="auto"/>
      </w:pPr>
      <w:r>
        <w:t>APRENDIZAJE ESPERADO:</w:t>
      </w:r>
      <w:r w:rsidR="00B66CF2">
        <w:t xml:space="preserve"> </w:t>
      </w:r>
      <w:r>
        <w:t xml:space="preserve"> </w:t>
      </w:r>
      <w:r w:rsidR="00B66CF2">
        <w:t xml:space="preserve"> </w:t>
      </w:r>
      <w:r w:rsidR="00DD1026">
        <w:t>Administración y contabiliza las remuneraciones de la empresa  conforme a la normativa legal vigente y a las Normativas Internacionales de Contabilidad.</w:t>
      </w:r>
      <w:r w:rsidR="00325203">
        <w:t xml:space="preserve">  Objetivo: </w:t>
      </w:r>
      <w:r w:rsidR="00AC5A72">
        <w:t xml:space="preserve"> 1.-</w:t>
      </w:r>
      <w:r w:rsidR="00CF0199">
        <w:t xml:space="preserve"> Determinar  y calcular la gratificación a los trabajadores en chile</w:t>
      </w:r>
      <w:proofErr w:type="gramStart"/>
      <w:r w:rsidR="00CF0199">
        <w:t>.</w:t>
      </w:r>
      <w:r w:rsidR="009A4A58">
        <w:t>.</w:t>
      </w:r>
      <w:proofErr w:type="gramEnd"/>
      <w:r w:rsidR="009A4A58">
        <w:t xml:space="preserve">                 </w:t>
      </w:r>
      <w:r w:rsidR="001D3159">
        <w:t xml:space="preserve">                                                                                                                 </w:t>
      </w:r>
      <w:r w:rsidR="00AC5A72">
        <w:t xml:space="preserve"> </w:t>
      </w:r>
      <w:r w:rsidR="001D3159">
        <w:t xml:space="preserve">.         </w:t>
      </w:r>
      <w:r w:rsidR="00302A91">
        <w:t xml:space="preserve">             .                </w:t>
      </w:r>
    </w:p>
    <w:p w:rsidR="00325203" w:rsidRDefault="00325203" w:rsidP="002B77F5"/>
    <w:p w:rsidR="002B77F5" w:rsidRPr="002B77F5" w:rsidRDefault="002B77F5" w:rsidP="002B77F5">
      <w:pPr>
        <w:rPr>
          <w:b/>
          <w:u w:val="single"/>
        </w:rPr>
      </w:pPr>
      <w:r w:rsidRPr="002B77F5">
        <w:rPr>
          <w:b/>
          <w:u w:val="single"/>
        </w:rPr>
        <w:t>INSTRUCCIONES</w:t>
      </w:r>
    </w:p>
    <w:p w:rsidR="002B77F5" w:rsidRDefault="002B77F5" w:rsidP="002B77F5">
      <w:r>
        <w:t xml:space="preserve">LEA la guía enviada, Imprima la guía </w:t>
      </w:r>
      <w:proofErr w:type="gramStart"/>
      <w:r>
        <w:t>( o</w:t>
      </w:r>
      <w:proofErr w:type="gramEnd"/>
      <w:r>
        <w:t xml:space="preserve"> de lo contrario cópiela en su cuadern</w:t>
      </w:r>
      <w:r w:rsidR="00DD1026">
        <w:t xml:space="preserve">o) y péguela en el cuaderno de  </w:t>
      </w:r>
      <w:r w:rsidR="00DD1026" w:rsidRPr="00732AE9">
        <w:rPr>
          <w:b/>
          <w:u w:val="single"/>
        </w:rPr>
        <w:t>Cálculo y registro de remuneraciones</w:t>
      </w:r>
      <w:r w:rsidR="00DD1026">
        <w:t xml:space="preserve"> </w:t>
      </w:r>
      <w:r>
        <w:t xml:space="preserve">, realice la actividad entregada </w:t>
      </w:r>
      <w:r w:rsidR="005646EC">
        <w:t>al final de la guí</w:t>
      </w:r>
      <w:r>
        <w:t>a. EN CASO DE DUDAS ENVIARLAS AL CORREO</w:t>
      </w:r>
    </w:p>
    <w:p w:rsidR="009623FD" w:rsidRDefault="00972B6C" w:rsidP="002B77F5">
      <w:hyperlink r:id="rId7" w:history="1">
        <w:r w:rsidR="002B77F5" w:rsidRPr="009F4AA6">
          <w:rPr>
            <w:rStyle w:val="Hipervnculo"/>
          </w:rPr>
          <w:t>contabilidadcestarosa@gmail.com</w:t>
        </w:r>
      </w:hyperlink>
      <w:bookmarkStart w:id="0" w:name="_GoBack"/>
      <w:bookmarkEnd w:id="0"/>
    </w:p>
    <w:p w:rsidR="003964A1" w:rsidRDefault="003964A1" w:rsidP="002B77F5">
      <w:r>
        <w:t xml:space="preserve">   </w:t>
      </w:r>
      <w:r w:rsidR="00DD1026">
        <w:t xml:space="preserve">GUIA </w:t>
      </w:r>
      <w:r w:rsidR="00325203">
        <w:t xml:space="preserve">A UTILIZAR </w:t>
      </w:r>
      <w:r w:rsidR="00DD1026">
        <w:t xml:space="preserve"> DE</w:t>
      </w:r>
      <w:r w:rsidR="00325203">
        <w:t>L</w:t>
      </w:r>
      <w:r>
        <w:t xml:space="preserve">  CODIGO DEL TRABAJO   2020</w:t>
      </w:r>
    </w:p>
    <w:p w:rsidR="00B3655F" w:rsidRDefault="00B3655F" w:rsidP="002B77F5">
      <w:r>
        <w:t xml:space="preserve"> FORMA DE DETERMINAR  LAS GRATIFICACION  DE  LOS TRABAJADORES  </w:t>
      </w:r>
      <w:r w:rsidR="0009446E">
        <w:t xml:space="preserve">DE EMPRESAS CON FINES DE LUCRO SEGÚN </w:t>
      </w:r>
      <w:r>
        <w:t xml:space="preserve"> LOS ARTICULOS   46 AL 53 DEL CODIGO DEL TRABAJO.                                       </w:t>
      </w:r>
    </w:p>
    <w:p w:rsidR="0009446E" w:rsidRDefault="00530E23" w:rsidP="002B77F5">
      <w:r w:rsidRPr="009A4A58">
        <w:rPr>
          <w:b/>
        </w:rPr>
        <w:t>Art. 46</w:t>
      </w:r>
      <w:r>
        <w:t>. Si las partes convinieren un sistema de gratificaciones, éstas no podrán ser inferiores a las que resulten de la aplicación de las normas siguientes.</w:t>
      </w:r>
      <w:r w:rsidR="00467FD3">
        <w:t xml:space="preserve">                                                                                     </w:t>
      </w:r>
      <w:r>
        <w:t xml:space="preserve"> </w:t>
      </w:r>
      <w:r w:rsidRPr="009A4A58">
        <w:rPr>
          <w:b/>
        </w:rPr>
        <w:t>Art. 47</w:t>
      </w:r>
      <w:r>
        <w:t>. Los establecimientos mineros, industriales, comerciales o agrícolas, empresas y cualesquiera otros que persigan fines de lucro, y las cooperativas, que estén obligados a llevar libros de contabilidad y que obtengan utilidades o excedentes líquidos en sus giros, tendrán la obligación de gratificar anualmente a sus trabajadores en proporción no inferior al treinta por ciento de dichas utilidades o excedentes. La gratificación de cada trabajador con derecho a ella será determinada en forma proporcional a lo devengado por cada trabajador en el respectivo período anual, incluidos lo</w:t>
      </w:r>
      <w:r w:rsidR="00467FD3">
        <w:t xml:space="preserve">s que no tengan derecho.    </w:t>
      </w:r>
    </w:p>
    <w:p w:rsidR="00467FD3" w:rsidRDefault="00530E23" w:rsidP="002B77F5">
      <w:r>
        <w:t xml:space="preserve"> </w:t>
      </w:r>
      <w:r w:rsidRPr="009A4A58">
        <w:rPr>
          <w:b/>
        </w:rPr>
        <w:t>Art. 48</w:t>
      </w:r>
      <w:r>
        <w:t>. Para estos efectos se considerará utilidad la que resulte de la liquidación que practique el Servicio de Impuestos Internos para la determinación del impuesto a la renta, aplicando el régimen de depreciación normal que establece el número 5 del artículo 31 de la ley sobre Impuesto a la Renta, sin deducir las pérdidas de ejercicios anteriores; y por utilidad líquida se entenderá la que arroje dicha 326 Inciso modificado, como aparece en el texto, por el artículo único, N° 3, de la Ley N° 20.281 (D.O.: 21.07.08). 327 El Dictamen N° 0110/001, de 8.01.09, concluye: 1. El cálculo del promedio a que alude el inciso 1° del artículo 45</w:t>
      </w:r>
      <w:r w:rsidR="00467FD3">
        <w:t xml:space="preserve"> </w:t>
      </w:r>
      <w:r w:rsidR="001E638C">
        <w:t>liquidación deducido el diez por ciento del valor del capital propio del empleador, por i</w:t>
      </w:r>
      <w:r w:rsidR="00467FD3">
        <w:t xml:space="preserve">nterés de dicho capital. </w:t>
      </w:r>
      <w:r w:rsidR="001E638C">
        <w:t xml:space="preserve"> Respecto de los empleadores exceptuados del impuesto a la renta, el Servicio de Impuestos Internos practicará, también, la liquidación a que se refiere este artículo para los efectos del otorgamiento de gratificaciones. Los empleadores estarán obligados a pagar las gratificaciones al personal con el carácter de anticipo sobre la base del balance o liquidación presentada al Servicio de Impuestos Internos, en tanto se practic</w:t>
      </w:r>
      <w:r w:rsidR="00467FD3">
        <w:t xml:space="preserve">a la liquidación definitiva.                                                                           </w:t>
      </w:r>
      <w:r w:rsidR="001E638C">
        <w:t xml:space="preserve"> </w:t>
      </w:r>
      <w:r w:rsidR="001E638C" w:rsidRPr="009A4A58">
        <w:rPr>
          <w:b/>
        </w:rPr>
        <w:t>Art. 49.</w:t>
      </w:r>
      <w:r w:rsidR="001E638C">
        <w:t xml:space="preserve"> Para los efectos del pago de gratificaciones, el Servicio de Impuestos Internos </w:t>
      </w:r>
      <w:r w:rsidR="001E638C">
        <w:lastRenderedPageBreak/>
        <w:t>determinará, en la liquidación, el capital propio del empleador invertido en la empresa y calculará el monto de la utilidad líquida que deberá servir de base para el pago de gratificaciones. El referido Servicio comunicará este antecedente al Juzgado de Letras del Trabajo o a la Dirección del Trabajo, cuando éstos lo soliciten. Asimismo, deberá otorgar certificaciones en igual sentido a los empleadores o sindicatos de trabajadores cuando ellos lo requieran, dentro del plazo de treinta días hábiles, contado desde el momento en que el empleador haya entregado todos los antecedentes necesarios y suficientes para la determinación de la utilidad conforme al artículo precedente</w:t>
      </w:r>
      <w:r w:rsidR="00467FD3">
        <w:t xml:space="preserve">.                                                                                                                                                      </w:t>
      </w:r>
      <w:r w:rsidR="001E638C">
        <w:t xml:space="preserve"> </w:t>
      </w:r>
      <w:r w:rsidR="001E638C" w:rsidRPr="00467FD3">
        <w:rPr>
          <w:b/>
        </w:rPr>
        <w:t>Art. 50</w:t>
      </w:r>
      <w:r w:rsidR="001E638C">
        <w:t>. El empleador que abone o pague a sus trabajadores el veinticinco por ciento de lo devengado en el respectivo ejercicio comercial por concepto de remuneraciones mensuales, quedará eximido de la obligación establecida en el artículo 47, sea cual fuere la utilidad líquida que obtuviere. En este caso, la gratificación de cada trabajador no excederá de cuatro y tres cuartos (4,75) ingresos mínimos mensuales. Para determinar el veinticinco por ciento anterior, se ajustarán las remuneraciones mensuales percibidas durante el ejercicio comercial conforme a los porcentajes de variación que hayan experimentado tales remuneraciones d</w:t>
      </w:r>
      <w:r w:rsidR="00467FD3">
        <w:t xml:space="preserve">entro del mismo. </w:t>
      </w:r>
    </w:p>
    <w:p w:rsidR="00530E23" w:rsidRDefault="001E638C" w:rsidP="002B77F5">
      <w:r>
        <w:t xml:space="preserve"> </w:t>
      </w:r>
      <w:r w:rsidRPr="00467FD3">
        <w:rPr>
          <w:b/>
        </w:rPr>
        <w:t>Art. 51</w:t>
      </w:r>
      <w:r>
        <w:t xml:space="preserve">. En todo caso, se deducirán de las gratificaciones legales cualesquiera otras remuneraciones que se convengan con imputación expresa a las utilidades de la empresa. </w:t>
      </w:r>
      <w:r w:rsidR="00467FD3">
        <w:t xml:space="preserve">          </w:t>
      </w:r>
      <w:r w:rsidRPr="00467FD3">
        <w:rPr>
          <w:b/>
        </w:rPr>
        <w:t>Art. 52</w:t>
      </w:r>
      <w:r>
        <w:t>. Los trabajadores que no alcanzaren a completar un año de servicios tendrán derecho a la gratificación en proporción a los meses trabajados.</w:t>
      </w:r>
      <w:r w:rsidR="00467FD3">
        <w:t xml:space="preserve">                                                                               </w:t>
      </w:r>
      <w:r>
        <w:t xml:space="preserve"> </w:t>
      </w:r>
      <w:r w:rsidRPr="00467FD3">
        <w:rPr>
          <w:b/>
        </w:rPr>
        <w:t>Art. 53</w:t>
      </w:r>
      <w:r>
        <w:t xml:space="preserve">. El empleador estará obligado a pagar al trabajador los gastos razonables de ida y vuelta si para prestar servicios lo hizo cambiar de residencia, lo que no constituirá remuneración. Se comprende en los gastos de traslado del trabajador, los de su familia que viva con </w:t>
      </w:r>
      <w:r w:rsidR="00467FD3">
        <w:t>él. No existirá la obligación del presente  artículo cuando la terminación del contrato se produjere por culpa o por la sola voluntad del trabajador.</w:t>
      </w:r>
    </w:p>
    <w:p w:rsidR="00530E23" w:rsidRDefault="00530E23" w:rsidP="002B77F5"/>
    <w:p w:rsidR="0008570B" w:rsidRDefault="0008570B" w:rsidP="0008570B"/>
    <w:p w:rsidR="0008570B" w:rsidRDefault="0008570B" w:rsidP="0008570B">
      <w:pPr>
        <w:autoSpaceDE w:val="0"/>
        <w:autoSpaceDN w:val="0"/>
        <w:adjustRightInd w:val="0"/>
        <w:spacing w:after="0" w:line="240" w:lineRule="auto"/>
        <w:jc w:val="center"/>
        <w:rPr>
          <w:rFonts w:ascii="Arial" w:hAnsi="Arial" w:cs="Arial"/>
          <w:color w:val="000000"/>
          <w:u w:val="single"/>
        </w:rPr>
      </w:pPr>
      <w:r>
        <w:t xml:space="preserve">          </w:t>
      </w:r>
      <w:r w:rsidRPr="007C5FD2">
        <w:rPr>
          <w:rFonts w:ascii="Arial" w:hAnsi="Arial" w:cs="Arial"/>
          <w:color w:val="000000"/>
          <w:u w:val="single"/>
        </w:rPr>
        <w:t>Actividad</w:t>
      </w:r>
      <w:r>
        <w:rPr>
          <w:rFonts w:ascii="Arial" w:hAnsi="Arial" w:cs="Arial"/>
          <w:color w:val="000000"/>
          <w:u w:val="single"/>
        </w:rPr>
        <w:t>es</w:t>
      </w:r>
      <w:r w:rsidR="005511D2">
        <w:rPr>
          <w:rFonts w:ascii="Arial" w:hAnsi="Arial" w:cs="Arial"/>
          <w:color w:val="000000"/>
          <w:u w:val="single"/>
        </w:rPr>
        <w:t xml:space="preserve"> a realizar</w:t>
      </w:r>
    </w:p>
    <w:p w:rsidR="005511D2" w:rsidRPr="007C5FD2" w:rsidRDefault="005511D2" w:rsidP="0008570B">
      <w:pPr>
        <w:autoSpaceDE w:val="0"/>
        <w:autoSpaceDN w:val="0"/>
        <w:adjustRightInd w:val="0"/>
        <w:spacing w:after="0" w:line="240" w:lineRule="auto"/>
        <w:jc w:val="center"/>
        <w:rPr>
          <w:rFonts w:ascii="Arial" w:hAnsi="Arial" w:cs="Arial"/>
          <w:u w:val="single"/>
        </w:rPr>
      </w:pPr>
    </w:p>
    <w:p w:rsidR="0008570B" w:rsidRPr="007C5FD2" w:rsidRDefault="0008570B" w:rsidP="0008570B">
      <w:pPr>
        <w:autoSpaceDE w:val="0"/>
        <w:autoSpaceDN w:val="0"/>
        <w:adjustRightInd w:val="0"/>
        <w:spacing w:after="0" w:line="240" w:lineRule="auto"/>
        <w:jc w:val="center"/>
        <w:rPr>
          <w:rFonts w:ascii="Arial" w:hAnsi="Arial" w:cs="Arial"/>
          <w:u w:val="single"/>
        </w:rPr>
      </w:pPr>
    </w:p>
    <w:p w:rsidR="0008570B" w:rsidRPr="007C5FD2" w:rsidRDefault="0009446E" w:rsidP="0008570B">
      <w:pPr>
        <w:pStyle w:val="Prrafodelista"/>
        <w:widowControl/>
        <w:adjustRightInd w:val="0"/>
        <w:ind w:left="720" w:firstLine="0"/>
        <w:contextualSpacing/>
        <w:jc w:val="both"/>
      </w:pPr>
      <w:r>
        <w:t>1.- ¿Qué trabajadores tiene derecho a que se le pague gratificación</w:t>
      </w:r>
      <w:proofErr w:type="gramStart"/>
      <w:r w:rsidR="0008570B">
        <w:t>?.</w:t>
      </w:r>
      <w:proofErr w:type="gramEnd"/>
    </w:p>
    <w:p w:rsidR="0008570B" w:rsidRPr="007C5FD2" w:rsidRDefault="0008570B" w:rsidP="0008570B">
      <w:pPr>
        <w:pStyle w:val="Prrafodelista"/>
        <w:adjustRightInd w:val="0"/>
        <w:jc w:val="both"/>
      </w:pPr>
    </w:p>
    <w:tbl>
      <w:tblPr>
        <w:tblStyle w:val="Tablaconcuadrcula"/>
        <w:tblW w:w="0" w:type="auto"/>
        <w:tblInd w:w="392" w:type="dxa"/>
        <w:tblLook w:val="04A0"/>
      </w:tblPr>
      <w:tblGrid>
        <w:gridCol w:w="8662"/>
      </w:tblGrid>
      <w:tr w:rsidR="0008570B" w:rsidRPr="007C5FD2" w:rsidTr="009E6727">
        <w:tc>
          <w:tcPr>
            <w:tcW w:w="8819" w:type="dxa"/>
          </w:tcPr>
          <w:p w:rsidR="0008570B" w:rsidRPr="007C5FD2" w:rsidRDefault="0008570B" w:rsidP="009E6727">
            <w:pPr>
              <w:autoSpaceDE w:val="0"/>
              <w:autoSpaceDN w:val="0"/>
              <w:adjustRightInd w:val="0"/>
              <w:jc w:val="both"/>
              <w:rPr>
                <w:rFonts w:ascii="Arial" w:hAnsi="Arial" w:cs="Arial"/>
                <w:b/>
              </w:rPr>
            </w:pPr>
          </w:p>
        </w:tc>
      </w:tr>
      <w:tr w:rsidR="0008570B" w:rsidRPr="007C5FD2" w:rsidTr="009E6727">
        <w:tc>
          <w:tcPr>
            <w:tcW w:w="8819" w:type="dxa"/>
          </w:tcPr>
          <w:p w:rsidR="0008570B" w:rsidRPr="007C5FD2"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bl>
    <w:p w:rsidR="0008570B" w:rsidRDefault="0008570B" w:rsidP="0008570B">
      <w:pPr>
        <w:autoSpaceDE w:val="0"/>
        <w:autoSpaceDN w:val="0"/>
        <w:adjustRightInd w:val="0"/>
        <w:spacing w:after="0" w:line="240" w:lineRule="auto"/>
        <w:jc w:val="both"/>
        <w:rPr>
          <w:rFonts w:ascii="Arial" w:hAnsi="Arial" w:cs="Arial"/>
        </w:rPr>
      </w:pPr>
    </w:p>
    <w:p w:rsidR="0008570B" w:rsidRDefault="0008570B" w:rsidP="0008570B">
      <w:pPr>
        <w:adjustRightInd w:val="0"/>
        <w:contextualSpacing/>
        <w:jc w:val="both"/>
      </w:pPr>
      <w:r>
        <w:t xml:space="preserve">            </w:t>
      </w:r>
      <w:r w:rsidR="0009446E">
        <w:t>2.- ¿ Cuáles son las formas de calcular la gratificación a los trabajadores</w:t>
      </w:r>
      <w:r>
        <w:t xml:space="preserve"> </w:t>
      </w:r>
      <w:proofErr w:type="gramStart"/>
      <w:r>
        <w:t>.?</w:t>
      </w:r>
      <w:proofErr w:type="gramEnd"/>
    </w:p>
    <w:p w:rsidR="0008570B" w:rsidRDefault="0008570B" w:rsidP="0008570B">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08570B" w:rsidTr="009E6727">
        <w:tc>
          <w:tcPr>
            <w:tcW w:w="8819" w:type="dxa"/>
          </w:tcPr>
          <w:p w:rsidR="0008570B" w:rsidRDefault="0008570B" w:rsidP="009E6727">
            <w:pPr>
              <w:autoSpaceDE w:val="0"/>
              <w:autoSpaceDN w:val="0"/>
              <w:adjustRightInd w:val="0"/>
              <w:ind w:left="284" w:hanging="284"/>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bl>
    <w:p w:rsidR="0008570B" w:rsidRDefault="0008570B" w:rsidP="0008570B">
      <w:pPr>
        <w:autoSpaceDE w:val="0"/>
        <w:autoSpaceDN w:val="0"/>
        <w:adjustRightInd w:val="0"/>
        <w:spacing w:after="0" w:line="240" w:lineRule="auto"/>
        <w:jc w:val="both"/>
        <w:rPr>
          <w:rFonts w:ascii="Arial" w:hAnsi="Arial" w:cs="Arial"/>
        </w:rPr>
      </w:pPr>
    </w:p>
    <w:p w:rsidR="0008570B" w:rsidRDefault="0008570B" w:rsidP="0008570B">
      <w:pPr>
        <w:autoSpaceDE w:val="0"/>
        <w:autoSpaceDN w:val="0"/>
        <w:adjustRightInd w:val="0"/>
        <w:spacing w:after="0" w:line="240" w:lineRule="auto"/>
        <w:jc w:val="both"/>
        <w:rPr>
          <w:rFonts w:ascii="Arial" w:hAnsi="Arial" w:cs="Arial"/>
        </w:rPr>
      </w:pPr>
    </w:p>
    <w:p w:rsidR="0008570B" w:rsidRDefault="0008570B" w:rsidP="0008570B">
      <w:pPr>
        <w:autoSpaceDE w:val="0"/>
        <w:autoSpaceDN w:val="0"/>
        <w:adjustRightInd w:val="0"/>
        <w:spacing w:after="0" w:line="240" w:lineRule="auto"/>
        <w:jc w:val="both"/>
        <w:rPr>
          <w:rFonts w:ascii="Arial" w:hAnsi="Arial" w:cs="Arial"/>
        </w:rPr>
      </w:pPr>
    </w:p>
    <w:p w:rsidR="0008570B" w:rsidRPr="0009446E" w:rsidRDefault="0009446E" w:rsidP="0009446E">
      <w:pPr>
        <w:adjustRightInd w:val="0"/>
        <w:ind w:left="360"/>
        <w:contextualSpacing/>
        <w:jc w:val="both"/>
      </w:pPr>
      <w:r>
        <w:t xml:space="preserve">      3.</w:t>
      </w:r>
      <w:proofErr w:type="gramStart"/>
      <w:r>
        <w:t>-¿</w:t>
      </w:r>
      <w:proofErr w:type="gramEnd"/>
      <w:r>
        <w:t xml:space="preserve"> como se determinar la gratificación del art.47 del código del trabajo</w:t>
      </w:r>
      <w:r w:rsidR="0008570B">
        <w:rPr>
          <w:rFonts w:ascii="Arial" w:hAnsi="Arial" w:cs="Arial"/>
        </w:rPr>
        <w:t>?</w:t>
      </w:r>
    </w:p>
    <w:p w:rsidR="0008570B" w:rsidRDefault="0008570B" w:rsidP="0008570B">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08570B" w:rsidTr="00A5375D">
        <w:tc>
          <w:tcPr>
            <w:tcW w:w="8662" w:type="dxa"/>
          </w:tcPr>
          <w:p w:rsidR="0008570B" w:rsidRDefault="0008570B" w:rsidP="009E6727">
            <w:pPr>
              <w:autoSpaceDE w:val="0"/>
              <w:autoSpaceDN w:val="0"/>
              <w:adjustRightInd w:val="0"/>
              <w:jc w:val="both"/>
              <w:rPr>
                <w:rFonts w:ascii="Arial" w:hAnsi="Arial" w:cs="Arial"/>
              </w:rPr>
            </w:pPr>
          </w:p>
        </w:tc>
      </w:tr>
      <w:tr w:rsidR="0008570B" w:rsidTr="00A5375D">
        <w:tc>
          <w:tcPr>
            <w:tcW w:w="8662" w:type="dxa"/>
          </w:tcPr>
          <w:p w:rsidR="0008570B" w:rsidRDefault="0008570B" w:rsidP="009E6727">
            <w:pPr>
              <w:autoSpaceDE w:val="0"/>
              <w:autoSpaceDN w:val="0"/>
              <w:adjustRightInd w:val="0"/>
              <w:jc w:val="both"/>
              <w:rPr>
                <w:rFonts w:ascii="Arial" w:hAnsi="Arial" w:cs="Arial"/>
              </w:rPr>
            </w:pPr>
          </w:p>
        </w:tc>
      </w:tr>
      <w:tr w:rsidR="0008570B" w:rsidTr="00A5375D">
        <w:tc>
          <w:tcPr>
            <w:tcW w:w="8662" w:type="dxa"/>
          </w:tcPr>
          <w:p w:rsidR="0008570B" w:rsidRDefault="0008570B" w:rsidP="009E6727">
            <w:pPr>
              <w:autoSpaceDE w:val="0"/>
              <w:autoSpaceDN w:val="0"/>
              <w:adjustRightInd w:val="0"/>
              <w:jc w:val="both"/>
              <w:rPr>
                <w:rFonts w:ascii="Arial" w:hAnsi="Arial" w:cs="Arial"/>
              </w:rPr>
            </w:pPr>
          </w:p>
        </w:tc>
      </w:tr>
      <w:tr w:rsidR="0008570B" w:rsidTr="00A5375D">
        <w:tc>
          <w:tcPr>
            <w:tcW w:w="8662" w:type="dxa"/>
          </w:tcPr>
          <w:p w:rsidR="0008570B" w:rsidRDefault="0008570B" w:rsidP="009E6727">
            <w:pPr>
              <w:autoSpaceDE w:val="0"/>
              <w:autoSpaceDN w:val="0"/>
              <w:adjustRightInd w:val="0"/>
              <w:jc w:val="both"/>
              <w:rPr>
                <w:rFonts w:ascii="Arial" w:hAnsi="Arial" w:cs="Arial"/>
              </w:rPr>
            </w:pPr>
          </w:p>
        </w:tc>
      </w:tr>
      <w:tr w:rsidR="0008570B" w:rsidTr="00A5375D">
        <w:tc>
          <w:tcPr>
            <w:tcW w:w="8662" w:type="dxa"/>
          </w:tcPr>
          <w:p w:rsidR="0008570B" w:rsidRDefault="0008570B" w:rsidP="009E6727">
            <w:pPr>
              <w:autoSpaceDE w:val="0"/>
              <w:autoSpaceDN w:val="0"/>
              <w:adjustRightInd w:val="0"/>
              <w:jc w:val="both"/>
              <w:rPr>
                <w:rFonts w:ascii="Arial" w:hAnsi="Arial" w:cs="Arial"/>
              </w:rPr>
            </w:pPr>
          </w:p>
        </w:tc>
      </w:tr>
      <w:tr w:rsidR="004815F0" w:rsidTr="00A5375D">
        <w:tc>
          <w:tcPr>
            <w:tcW w:w="8662" w:type="dxa"/>
          </w:tcPr>
          <w:p w:rsidR="004815F0" w:rsidRDefault="004815F0" w:rsidP="009E6727">
            <w:pPr>
              <w:autoSpaceDE w:val="0"/>
              <w:autoSpaceDN w:val="0"/>
              <w:adjustRightInd w:val="0"/>
              <w:jc w:val="both"/>
              <w:rPr>
                <w:rFonts w:ascii="Arial" w:hAnsi="Arial" w:cs="Arial"/>
              </w:rPr>
            </w:pPr>
          </w:p>
        </w:tc>
      </w:tr>
    </w:tbl>
    <w:p w:rsidR="004815F0" w:rsidRDefault="00ED1AAA" w:rsidP="00A5375D">
      <w:pPr>
        <w:adjustRightInd w:val="0"/>
        <w:contextualSpacing/>
        <w:jc w:val="both"/>
        <w:rPr>
          <w:rFonts w:ascii="Arial" w:hAnsi="Arial" w:cs="Arial"/>
        </w:rPr>
      </w:pPr>
      <w:r>
        <w:rPr>
          <w:rFonts w:ascii="Arial" w:hAnsi="Arial" w:cs="Arial"/>
        </w:rPr>
        <w:t xml:space="preserve">           </w:t>
      </w:r>
      <w:r w:rsidR="00A5375D">
        <w:rPr>
          <w:rFonts w:ascii="Arial" w:hAnsi="Arial" w:cs="Arial"/>
        </w:rPr>
        <w:t xml:space="preserve"> </w:t>
      </w:r>
    </w:p>
    <w:p w:rsidR="004815F0" w:rsidRDefault="004815F0" w:rsidP="00A5375D">
      <w:pPr>
        <w:adjustRightInd w:val="0"/>
        <w:contextualSpacing/>
        <w:jc w:val="both"/>
      </w:pPr>
      <w:r>
        <w:rPr>
          <w:rFonts w:ascii="Arial" w:hAnsi="Arial" w:cs="Arial"/>
        </w:rPr>
        <w:lastRenderedPageBreak/>
        <w:t xml:space="preserve">          </w:t>
      </w:r>
      <w:r w:rsidR="00A5375D">
        <w:rPr>
          <w:rFonts w:ascii="Arial" w:hAnsi="Arial" w:cs="Arial"/>
        </w:rPr>
        <w:t xml:space="preserve"> </w:t>
      </w:r>
      <w:r>
        <w:t xml:space="preserve">4.- </w:t>
      </w:r>
      <w:proofErr w:type="gramStart"/>
      <w:r>
        <w:t>¿ Qué</w:t>
      </w:r>
      <w:proofErr w:type="gramEnd"/>
      <w:r>
        <w:t xml:space="preserve"> monto es lo máximo que se puede pagar como gratificación según el Art, 50 del    </w:t>
      </w:r>
    </w:p>
    <w:p w:rsidR="0008570B" w:rsidRDefault="004815F0" w:rsidP="00A5375D">
      <w:pPr>
        <w:adjustRightInd w:val="0"/>
        <w:contextualSpacing/>
        <w:jc w:val="both"/>
      </w:pPr>
      <w:r>
        <w:t xml:space="preserve">                      </w:t>
      </w:r>
      <w:proofErr w:type="gramStart"/>
      <w:r>
        <w:t>código</w:t>
      </w:r>
      <w:proofErr w:type="gramEnd"/>
      <w:r>
        <w:t xml:space="preserve"> del trabajo </w:t>
      </w:r>
      <w:r w:rsidR="0008570B">
        <w:t>?</w:t>
      </w:r>
    </w:p>
    <w:p w:rsidR="00A5375D" w:rsidRDefault="00A5375D" w:rsidP="00A5375D">
      <w:pPr>
        <w:adjustRightInd w:val="0"/>
        <w:contextualSpacing/>
        <w:jc w:val="both"/>
      </w:pPr>
    </w:p>
    <w:tbl>
      <w:tblPr>
        <w:tblStyle w:val="Tablaconcuadrcula"/>
        <w:tblW w:w="0" w:type="auto"/>
        <w:tblInd w:w="392" w:type="dxa"/>
        <w:tblLook w:val="04A0"/>
      </w:tblPr>
      <w:tblGrid>
        <w:gridCol w:w="8662"/>
      </w:tblGrid>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bl>
    <w:p w:rsidR="0008570B" w:rsidRDefault="0008570B" w:rsidP="0008570B">
      <w:pPr>
        <w:autoSpaceDE w:val="0"/>
        <w:autoSpaceDN w:val="0"/>
        <w:adjustRightInd w:val="0"/>
        <w:spacing w:after="0" w:line="240" w:lineRule="auto"/>
        <w:jc w:val="both"/>
        <w:rPr>
          <w:rFonts w:ascii="Arial" w:hAnsi="Arial" w:cs="Arial"/>
        </w:rPr>
      </w:pPr>
    </w:p>
    <w:p w:rsidR="00532DBF" w:rsidRDefault="00A5375D" w:rsidP="0008570B">
      <w:pPr>
        <w:adjustRightInd w:val="0"/>
        <w:contextualSpacing/>
        <w:jc w:val="both"/>
        <w:rPr>
          <w:rFonts w:ascii="Arial" w:hAnsi="Arial" w:cs="Arial"/>
        </w:rPr>
      </w:pPr>
      <w:r>
        <w:rPr>
          <w:rFonts w:ascii="Arial" w:hAnsi="Arial" w:cs="Arial"/>
        </w:rPr>
        <w:t xml:space="preserve">        </w:t>
      </w:r>
    </w:p>
    <w:p w:rsidR="00532DBF" w:rsidRDefault="00532DBF" w:rsidP="0008570B">
      <w:pPr>
        <w:adjustRightInd w:val="0"/>
        <w:contextualSpacing/>
        <w:jc w:val="both"/>
        <w:rPr>
          <w:rFonts w:ascii="Arial" w:hAnsi="Arial" w:cs="Arial"/>
        </w:rPr>
      </w:pPr>
    </w:p>
    <w:p w:rsidR="0008570B" w:rsidRPr="00532DBF" w:rsidRDefault="00A5375D" w:rsidP="0008570B">
      <w:pPr>
        <w:adjustRightInd w:val="0"/>
        <w:contextualSpacing/>
        <w:jc w:val="both"/>
        <w:rPr>
          <w:rFonts w:ascii="Arial" w:hAnsi="Arial" w:cs="Arial"/>
        </w:rPr>
      </w:pPr>
      <w:r>
        <w:rPr>
          <w:rFonts w:ascii="Arial" w:hAnsi="Arial" w:cs="Arial"/>
        </w:rPr>
        <w:t xml:space="preserve"> 5.</w:t>
      </w:r>
      <w:proofErr w:type="gramStart"/>
      <w:r>
        <w:rPr>
          <w:rFonts w:ascii="Arial" w:hAnsi="Arial" w:cs="Arial"/>
        </w:rPr>
        <w:t>-</w:t>
      </w:r>
      <w:r w:rsidR="0008570B">
        <w:rPr>
          <w:rFonts w:ascii="Arial" w:hAnsi="Arial" w:cs="Arial"/>
        </w:rPr>
        <w:t>¿</w:t>
      </w:r>
      <w:proofErr w:type="gramEnd"/>
      <w:r w:rsidR="0008570B">
        <w:rPr>
          <w:rFonts w:ascii="Arial" w:hAnsi="Arial" w:cs="Arial"/>
        </w:rPr>
        <w:t>Qu</w:t>
      </w:r>
      <w:r>
        <w:rPr>
          <w:rFonts w:ascii="Arial" w:hAnsi="Arial" w:cs="Arial"/>
        </w:rPr>
        <w:t xml:space="preserve">é </w:t>
      </w:r>
      <w:r w:rsidR="007D38D2">
        <w:rPr>
          <w:rFonts w:ascii="Arial" w:hAnsi="Arial" w:cs="Arial"/>
        </w:rPr>
        <w:t>trabajadores en chile NO</w:t>
      </w:r>
      <w:r w:rsidR="00532DBF">
        <w:rPr>
          <w:rFonts w:ascii="Arial" w:hAnsi="Arial" w:cs="Arial"/>
        </w:rPr>
        <w:t xml:space="preserve"> tienen derecho a tener pago de gratificación</w:t>
      </w:r>
      <w:r w:rsidR="0008570B">
        <w:rPr>
          <w:rFonts w:ascii="Arial" w:hAnsi="Arial" w:cs="Arial"/>
        </w:rPr>
        <w:t>?</w:t>
      </w:r>
    </w:p>
    <w:p w:rsidR="0008570B" w:rsidRDefault="0008570B" w:rsidP="0008570B">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bl>
    <w:p w:rsidR="0008570B" w:rsidRDefault="0008570B" w:rsidP="0008570B">
      <w:pPr>
        <w:autoSpaceDE w:val="0"/>
        <w:autoSpaceDN w:val="0"/>
        <w:adjustRightInd w:val="0"/>
        <w:spacing w:after="0" w:line="240" w:lineRule="auto"/>
        <w:jc w:val="both"/>
        <w:rPr>
          <w:rFonts w:ascii="Arial" w:hAnsi="Arial" w:cs="Arial"/>
        </w:rPr>
      </w:pPr>
    </w:p>
    <w:p w:rsidR="0008570B" w:rsidRDefault="0008570B" w:rsidP="0008570B">
      <w:pPr>
        <w:autoSpaceDE w:val="0"/>
        <w:autoSpaceDN w:val="0"/>
        <w:adjustRightInd w:val="0"/>
        <w:spacing w:after="0" w:line="240" w:lineRule="auto"/>
        <w:jc w:val="both"/>
        <w:rPr>
          <w:rFonts w:ascii="Arial" w:hAnsi="Arial" w:cs="Arial"/>
        </w:rPr>
      </w:pPr>
    </w:p>
    <w:p w:rsidR="0008570B" w:rsidRDefault="00532DBF" w:rsidP="0008570B">
      <w:pPr>
        <w:autoSpaceDE w:val="0"/>
        <w:autoSpaceDN w:val="0"/>
        <w:adjustRightInd w:val="0"/>
        <w:spacing w:after="0" w:line="240" w:lineRule="auto"/>
        <w:jc w:val="both"/>
        <w:rPr>
          <w:rFonts w:ascii="Arial" w:hAnsi="Arial" w:cs="Arial"/>
        </w:rPr>
      </w:pPr>
      <w:r>
        <w:rPr>
          <w:rFonts w:ascii="Arial" w:hAnsi="Arial" w:cs="Arial"/>
        </w:rPr>
        <w:t xml:space="preserve">             6.- </w:t>
      </w:r>
      <w:proofErr w:type="gramStart"/>
      <w:r>
        <w:rPr>
          <w:rFonts w:ascii="Arial" w:hAnsi="Arial" w:cs="Arial"/>
        </w:rPr>
        <w:t>¿ Qué</w:t>
      </w:r>
      <w:proofErr w:type="gramEnd"/>
      <w:r>
        <w:rPr>
          <w:rFonts w:ascii="Arial" w:hAnsi="Arial" w:cs="Arial"/>
        </w:rPr>
        <w:t xml:space="preserve"> establecimientos  tienen la obligación de pagar gratificación</w:t>
      </w:r>
      <w:r w:rsidR="0008570B">
        <w:rPr>
          <w:rFonts w:ascii="Arial" w:hAnsi="Arial" w:cs="Arial"/>
        </w:rPr>
        <w:t>?</w:t>
      </w:r>
    </w:p>
    <w:p w:rsidR="0008570B" w:rsidRDefault="0008570B" w:rsidP="0008570B">
      <w:pPr>
        <w:autoSpaceDE w:val="0"/>
        <w:autoSpaceDN w:val="0"/>
        <w:adjustRightInd w:val="0"/>
        <w:spacing w:after="0" w:line="240" w:lineRule="auto"/>
        <w:jc w:val="both"/>
        <w:rPr>
          <w:rFonts w:ascii="Arial" w:hAnsi="Arial" w:cs="Arial"/>
        </w:rPr>
      </w:pPr>
    </w:p>
    <w:tbl>
      <w:tblPr>
        <w:tblStyle w:val="Tablaconcuadrcula"/>
        <w:tblW w:w="0" w:type="auto"/>
        <w:tblInd w:w="392" w:type="dxa"/>
        <w:tblLook w:val="04A0"/>
      </w:tblPr>
      <w:tblGrid>
        <w:gridCol w:w="8662"/>
      </w:tblGrid>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r w:rsidR="0008570B" w:rsidTr="009E6727">
        <w:tc>
          <w:tcPr>
            <w:tcW w:w="8819" w:type="dxa"/>
          </w:tcPr>
          <w:p w:rsidR="0008570B" w:rsidRDefault="0008570B" w:rsidP="009E6727">
            <w:pPr>
              <w:autoSpaceDE w:val="0"/>
              <w:autoSpaceDN w:val="0"/>
              <w:adjustRightInd w:val="0"/>
              <w:jc w:val="both"/>
              <w:rPr>
                <w:rFonts w:ascii="Arial" w:hAnsi="Arial" w:cs="Arial"/>
              </w:rPr>
            </w:pPr>
          </w:p>
        </w:tc>
      </w:tr>
    </w:tbl>
    <w:p w:rsidR="0008570B" w:rsidRDefault="0008570B" w:rsidP="0008570B">
      <w:pPr>
        <w:pStyle w:val="Prrafodelista"/>
        <w:adjustRightInd w:val="0"/>
        <w:jc w:val="both"/>
      </w:pPr>
    </w:p>
    <w:p w:rsidR="006A2A34" w:rsidRDefault="00532DBF" w:rsidP="002B77F5">
      <w:r>
        <w:t xml:space="preserve">            </w:t>
      </w:r>
      <w:r w:rsidR="006A2A34">
        <w:t>DETERMINAR  LA GRATIFICACION QUE LE CORRESPONDE A CADA TRABAJADOR. APLICANDO      .           EL  ARTICULO  50 DEL CODIGO DEL TRABAJO.</w:t>
      </w:r>
    </w:p>
    <w:p w:rsidR="002B55FE" w:rsidRDefault="006A2A34" w:rsidP="002B77F5">
      <w:r>
        <w:t xml:space="preserve">                </w:t>
      </w:r>
    </w:p>
    <w:p w:rsidR="002B55FE" w:rsidRDefault="006A2A34" w:rsidP="002B55FE">
      <w:pPr>
        <w:pStyle w:val="Prrafodelista"/>
        <w:numPr>
          <w:ilvl w:val="0"/>
          <w:numId w:val="5"/>
        </w:numPr>
      </w:pPr>
      <w:r>
        <w:t>Se contrata a Don Juan Tapia, con un sueldo  de $ 320.000,  Colación $ 2</w:t>
      </w:r>
      <w:r w:rsidR="002B55FE" w:rsidRPr="002B55FE">
        <w:t>6.00</w:t>
      </w:r>
      <w:r w:rsidR="002B55FE">
        <w:t>0, Asignación de pérdida de caja $</w:t>
      </w:r>
      <w:r>
        <w:t xml:space="preserve"> 30.000, </w:t>
      </w:r>
    </w:p>
    <w:p w:rsidR="00FB15AB" w:rsidRDefault="00FB15AB" w:rsidP="00FB15AB">
      <w:r>
        <w:t xml:space="preserve">              </w:t>
      </w:r>
    </w:p>
    <w:tbl>
      <w:tblPr>
        <w:tblStyle w:val="Tablaconcuadrcula"/>
        <w:tblW w:w="0" w:type="auto"/>
        <w:tblLook w:val="04A0"/>
      </w:tblPr>
      <w:tblGrid>
        <w:gridCol w:w="4489"/>
        <w:gridCol w:w="4489"/>
      </w:tblGrid>
      <w:tr w:rsidR="00FB15AB" w:rsidTr="00FB15AB">
        <w:tc>
          <w:tcPr>
            <w:tcW w:w="4489" w:type="dxa"/>
          </w:tcPr>
          <w:p w:rsidR="00FB15AB" w:rsidRDefault="00FB15AB" w:rsidP="00FB15AB">
            <w:r>
              <w:t xml:space="preserve">       </w:t>
            </w:r>
          </w:p>
        </w:tc>
        <w:tc>
          <w:tcPr>
            <w:tcW w:w="4489" w:type="dxa"/>
          </w:tcPr>
          <w:p w:rsidR="00FB15AB" w:rsidRDefault="00FB15AB" w:rsidP="00FB15AB"/>
        </w:tc>
      </w:tr>
      <w:tr w:rsidR="00FB15AB" w:rsidTr="00FB15AB">
        <w:tc>
          <w:tcPr>
            <w:tcW w:w="4489" w:type="dxa"/>
          </w:tcPr>
          <w:p w:rsidR="00FB15AB" w:rsidRDefault="00FB15AB" w:rsidP="00FB15AB"/>
        </w:tc>
        <w:tc>
          <w:tcPr>
            <w:tcW w:w="4489" w:type="dxa"/>
          </w:tcPr>
          <w:p w:rsidR="00FB15AB" w:rsidRDefault="00FB15AB" w:rsidP="00FB15AB"/>
        </w:tc>
      </w:tr>
      <w:tr w:rsidR="00FB15AB" w:rsidTr="00FB15AB">
        <w:tc>
          <w:tcPr>
            <w:tcW w:w="4489" w:type="dxa"/>
          </w:tcPr>
          <w:p w:rsidR="00FB15AB" w:rsidRDefault="00FB15AB" w:rsidP="00FB15AB"/>
        </w:tc>
        <w:tc>
          <w:tcPr>
            <w:tcW w:w="4489" w:type="dxa"/>
          </w:tcPr>
          <w:p w:rsidR="00FB15AB" w:rsidRDefault="00FB15AB" w:rsidP="00FB15AB"/>
        </w:tc>
      </w:tr>
      <w:tr w:rsidR="00FB15AB" w:rsidTr="00FB15AB">
        <w:tc>
          <w:tcPr>
            <w:tcW w:w="4489" w:type="dxa"/>
          </w:tcPr>
          <w:p w:rsidR="00FB15AB" w:rsidRDefault="00FB15AB" w:rsidP="00FB15AB"/>
        </w:tc>
        <w:tc>
          <w:tcPr>
            <w:tcW w:w="4489" w:type="dxa"/>
          </w:tcPr>
          <w:p w:rsidR="00FB15AB" w:rsidRDefault="00FB15AB" w:rsidP="00FB15AB"/>
        </w:tc>
      </w:tr>
      <w:tr w:rsidR="00FB15AB" w:rsidTr="00FB15AB">
        <w:tc>
          <w:tcPr>
            <w:tcW w:w="4489" w:type="dxa"/>
          </w:tcPr>
          <w:p w:rsidR="00FB15AB" w:rsidRDefault="00FB15AB" w:rsidP="00FB15AB"/>
        </w:tc>
        <w:tc>
          <w:tcPr>
            <w:tcW w:w="4489" w:type="dxa"/>
          </w:tcPr>
          <w:p w:rsidR="00FB15AB" w:rsidRDefault="00FB15AB" w:rsidP="00FB15AB"/>
        </w:tc>
      </w:tr>
    </w:tbl>
    <w:p w:rsidR="00FB15AB" w:rsidRDefault="00FB15AB" w:rsidP="00FB15AB"/>
    <w:p w:rsidR="00886303" w:rsidRDefault="004815F0" w:rsidP="00FB15AB">
      <w:pPr>
        <w:pStyle w:val="Prrafodelista"/>
        <w:numPr>
          <w:ilvl w:val="0"/>
          <w:numId w:val="5"/>
        </w:numPr>
      </w:pPr>
      <w:r>
        <w:rPr>
          <w:lang w:val="es-CL"/>
        </w:rPr>
        <w:t>Con  los ingresos que perc</w:t>
      </w:r>
      <w:r w:rsidR="006A2A34">
        <w:rPr>
          <w:lang w:val="es-CL"/>
        </w:rPr>
        <w:t xml:space="preserve">ibe el trabajador son; </w:t>
      </w:r>
      <w:r>
        <w:t>Sueldo base  $5</w:t>
      </w:r>
      <w:r w:rsidR="00886303">
        <w:t>80.00.  movilización $</w:t>
      </w:r>
      <w:r w:rsidR="00532DBF">
        <w:t xml:space="preserve"> </w:t>
      </w:r>
      <w:r w:rsidR="00886303">
        <w:t>32.000, asignación familiar $24.219, bono de participación $</w:t>
      </w:r>
      <w:r w:rsidR="006A2A34">
        <w:t>62</w:t>
      </w:r>
      <w:r>
        <w:t>.000, horas extraordinarias $</w:t>
      </w:r>
      <w:r w:rsidR="00532DBF">
        <w:t xml:space="preserve"> </w:t>
      </w:r>
      <w:r>
        <w:t>9</w:t>
      </w:r>
      <w:r w:rsidR="00886303">
        <w:t>1.200.</w:t>
      </w:r>
    </w:p>
    <w:p w:rsidR="00FB15AB" w:rsidRDefault="00FB15AB" w:rsidP="00FB15AB">
      <w:r>
        <w:t xml:space="preserve">  </w:t>
      </w:r>
      <w:r w:rsidR="006A2A34">
        <w:t xml:space="preserve"> </w:t>
      </w:r>
    </w:p>
    <w:tbl>
      <w:tblPr>
        <w:tblStyle w:val="Tablaconcuadrcula"/>
        <w:tblW w:w="0" w:type="auto"/>
        <w:tblLook w:val="04A0"/>
      </w:tblPr>
      <w:tblGrid>
        <w:gridCol w:w="4489"/>
        <w:gridCol w:w="4489"/>
      </w:tblGrid>
      <w:tr w:rsidR="00FB15AB" w:rsidTr="00FB15AB">
        <w:tc>
          <w:tcPr>
            <w:tcW w:w="4489" w:type="dxa"/>
          </w:tcPr>
          <w:p w:rsidR="00FB15AB" w:rsidRDefault="00FB15AB" w:rsidP="00FB15AB"/>
        </w:tc>
        <w:tc>
          <w:tcPr>
            <w:tcW w:w="4489" w:type="dxa"/>
          </w:tcPr>
          <w:p w:rsidR="00FB15AB" w:rsidRDefault="00FB15AB" w:rsidP="00FB15AB"/>
        </w:tc>
      </w:tr>
      <w:tr w:rsidR="00FB15AB" w:rsidTr="00FB15AB">
        <w:tc>
          <w:tcPr>
            <w:tcW w:w="4489" w:type="dxa"/>
          </w:tcPr>
          <w:p w:rsidR="00FB15AB" w:rsidRDefault="00FB15AB" w:rsidP="00FB15AB"/>
        </w:tc>
        <w:tc>
          <w:tcPr>
            <w:tcW w:w="4489" w:type="dxa"/>
          </w:tcPr>
          <w:p w:rsidR="00FB15AB" w:rsidRDefault="00FB15AB" w:rsidP="00FB15AB"/>
        </w:tc>
      </w:tr>
      <w:tr w:rsidR="00FB15AB" w:rsidTr="00FB15AB">
        <w:tc>
          <w:tcPr>
            <w:tcW w:w="4489" w:type="dxa"/>
          </w:tcPr>
          <w:p w:rsidR="00FB15AB" w:rsidRDefault="00FB15AB" w:rsidP="00FB15AB"/>
        </w:tc>
        <w:tc>
          <w:tcPr>
            <w:tcW w:w="4489" w:type="dxa"/>
          </w:tcPr>
          <w:p w:rsidR="00FB15AB" w:rsidRDefault="00FB15AB" w:rsidP="00FB15AB"/>
        </w:tc>
      </w:tr>
      <w:tr w:rsidR="00FB15AB" w:rsidTr="00FB15AB">
        <w:tc>
          <w:tcPr>
            <w:tcW w:w="4489" w:type="dxa"/>
          </w:tcPr>
          <w:p w:rsidR="00FB15AB" w:rsidRDefault="00FB15AB" w:rsidP="00FB15AB"/>
        </w:tc>
        <w:tc>
          <w:tcPr>
            <w:tcW w:w="4489" w:type="dxa"/>
          </w:tcPr>
          <w:p w:rsidR="00FB15AB" w:rsidRDefault="00FB15AB" w:rsidP="00FB15AB"/>
        </w:tc>
      </w:tr>
      <w:tr w:rsidR="00FB15AB" w:rsidTr="00FB15AB">
        <w:tc>
          <w:tcPr>
            <w:tcW w:w="4489" w:type="dxa"/>
          </w:tcPr>
          <w:p w:rsidR="00FB15AB" w:rsidRDefault="00FB15AB" w:rsidP="00FB15AB"/>
        </w:tc>
        <w:tc>
          <w:tcPr>
            <w:tcW w:w="4489" w:type="dxa"/>
          </w:tcPr>
          <w:p w:rsidR="00FB15AB" w:rsidRDefault="00FB15AB" w:rsidP="00FB15AB"/>
        </w:tc>
      </w:tr>
    </w:tbl>
    <w:p w:rsidR="00FB15AB" w:rsidRDefault="00FB15AB" w:rsidP="00FB15AB">
      <w:r>
        <w:t xml:space="preserve">  </w:t>
      </w:r>
    </w:p>
    <w:p w:rsidR="00886303" w:rsidRDefault="00886303" w:rsidP="00886303">
      <w:pPr>
        <w:pStyle w:val="Prrafodelista"/>
      </w:pPr>
    </w:p>
    <w:p w:rsidR="00886303" w:rsidRDefault="00886303" w:rsidP="00886303">
      <w:pPr>
        <w:pStyle w:val="Prrafodelista"/>
        <w:numPr>
          <w:ilvl w:val="0"/>
          <w:numId w:val="5"/>
        </w:numPr>
      </w:pPr>
      <w:r>
        <w:t>Se cancela el</w:t>
      </w:r>
      <w:r w:rsidR="006A2A34">
        <w:t xml:space="preserve"> sueldo del mes a Don Mario Soto un sueldo de $ 9800.000, horas extras $ 49.000</w:t>
      </w:r>
      <w:r>
        <w:t xml:space="preserve">,movilización </w:t>
      </w:r>
      <w:r w:rsidR="006A2A34">
        <w:t>$ 48.000, Colación $ 62</w:t>
      </w:r>
      <w:r w:rsidR="00FB15AB">
        <w:t>.000</w:t>
      </w:r>
    </w:p>
    <w:p w:rsidR="00886303" w:rsidRDefault="00886303" w:rsidP="00886303">
      <w:pPr>
        <w:pStyle w:val="Prrafodelista"/>
      </w:pPr>
    </w:p>
    <w:tbl>
      <w:tblPr>
        <w:tblStyle w:val="Tablaconcuadrcula"/>
        <w:tblW w:w="0" w:type="auto"/>
        <w:tblInd w:w="720" w:type="dxa"/>
        <w:tblLook w:val="04A0"/>
      </w:tblPr>
      <w:tblGrid>
        <w:gridCol w:w="4167"/>
        <w:gridCol w:w="4167"/>
      </w:tblGrid>
      <w:tr w:rsidR="00FB15AB" w:rsidTr="009E5901">
        <w:tc>
          <w:tcPr>
            <w:tcW w:w="4167" w:type="dxa"/>
          </w:tcPr>
          <w:p w:rsidR="00FB15AB" w:rsidRDefault="00FB15AB" w:rsidP="00886303">
            <w:pPr>
              <w:pStyle w:val="Prrafodelista"/>
              <w:ind w:left="0" w:firstLine="0"/>
            </w:pPr>
          </w:p>
        </w:tc>
        <w:tc>
          <w:tcPr>
            <w:tcW w:w="4167" w:type="dxa"/>
          </w:tcPr>
          <w:p w:rsidR="00FB15AB" w:rsidRDefault="00FB15AB" w:rsidP="00886303">
            <w:pPr>
              <w:pStyle w:val="Prrafodelista"/>
              <w:ind w:left="0" w:firstLine="0"/>
            </w:pPr>
          </w:p>
        </w:tc>
      </w:tr>
      <w:tr w:rsidR="00FB15AB" w:rsidTr="009E5901">
        <w:tc>
          <w:tcPr>
            <w:tcW w:w="4167" w:type="dxa"/>
          </w:tcPr>
          <w:p w:rsidR="00FB15AB" w:rsidRDefault="00FB15AB" w:rsidP="00886303">
            <w:pPr>
              <w:pStyle w:val="Prrafodelista"/>
              <w:ind w:left="0" w:firstLine="0"/>
            </w:pPr>
          </w:p>
        </w:tc>
        <w:tc>
          <w:tcPr>
            <w:tcW w:w="4167" w:type="dxa"/>
          </w:tcPr>
          <w:p w:rsidR="00FB15AB" w:rsidRDefault="00FB15AB" w:rsidP="00886303">
            <w:pPr>
              <w:pStyle w:val="Prrafodelista"/>
              <w:ind w:left="0" w:firstLine="0"/>
            </w:pPr>
          </w:p>
        </w:tc>
      </w:tr>
      <w:tr w:rsidR="009E5901" w:rsidTr="009E5901">
        <w:tc>
          <w:tcPr>
            <w:tcW w:w="4167" w:type="dxa"/>
          </w:tcPr>
          <w:p w:rsidR="009E5901" w:rsidRDefault="009E5901" w:rsidP="00886303">
            <w:pPr>
              <w:pStyle w:val="Prrafodelista"/>
              <w:ind w:left="0" w:firstLine="0"/>
            </w:pPr>
          </w:p>
        </w:tc>
        <w:tc>
          <w:tcPr>
            <w:tcW w:w="4167" w:type="dxa"/>
          </w:tcPr>
          <w:p w:rsidR="009E5901" w:rsidRDefault="009E5901" w:rsidP="00886303">
            <w:pPr>
              <w:pStyle w:val="Prrafodelista"/>
              <w:ind w:left="0" w:firstLine="0"/>
            </w:pPr>
          </w:p>
        </w:tc>
      </w:tr>
      <w:tr w:rsidR="00FB15AB" w:rsidTr="009E5901">
        <w:tc>
          <w:tcPr>
            <w:tcW w:w="4167" w:type="dxa"/>
          </w:tcPr>
          <w:p w:rsidR="00FB15AB" w:rsidRDefault="00FB15AB" w:rsidP="00886303">
            <w:pPr>
              <w:pStyle w:val="Prrafodelista"/>
              <w:ind w:left="0" w:firstLine="0"/>
            </w:pPr>
          </w:p>
        </w:tc>
        <w:tc>
          <w:tcPr>
            <w:tcW w:w="4167" w:type="dxa"/>
          </w:tcPr>
          <w:p w:rsidR="00FB15AB" w:rsidRDefault="00FB15AB" w:rsidP="00886303">
            <w:pPr>
              <w:pStyle w:val="Prrafodelista"/>
              <w:ind w:left="0" w:firstLine="0"/>
            </w:pPr>
          </w:p>
        </w:tc>
      </w:tr>
      <w:tr w:rsidR="00FB15AB" w:rsidTr="009E5901">
        <w:tc>
          <w:tcPr>
            <w:tcW w:w="4167" w:type="dxa"/>
          </w:tcPr>
          <w:p w:rsidR="00FB15AB" w:rsidRDefault="00FB15AB" w:rsidP="00886303">
            <w:pPr>
              <w:pStyle w:val="Prrafodelista"/>
              <w:ind w:left="0" w:firstLine="0"/>
            </w:pPr>
          </w:p>
        </w:tc>
        <w:tc>
          <w:tcPr>
            <w:tcW w:w="4167" w:type="dxa"/>
          </w:tcPr>
          <w:p w:rsidR="00FB15AB" w:rsidRDefault="00FB15AB" w:rsidP="00886303">
            <w:pPr>
              <w:pStyle w:val="Prrafodelista"/>
              <w:ind w:left="0" w:firstLine="0"/>
            </w:pPr>
          </w:p>
        </w:tc>
      </w:tr>
    </w:tbl>
    <w:p w:rsidR="00886303" w:rsidRDefault="00886303" w:rsidP="00886303">
      <w:pPr>
        <w:pStyle w:val="Prrafodelista"/>
        <w:ind w:left="720" w:firstLine="0"/>
      </w:pPr>
    </w:p>
    <w:p w:rsidR="002B55FE" w:rsidRPr="002B55FE" w:rsidRDefault="002B55FE" w:rsidP="002B77F5">
      <w:pPr>
        <w:rPr>
          <w:lang w:val="es-ES"/>
        </w:rPr>
      </w:pPr>
    </w:p>
    <w:p w:rsidR="002B55FE" w:rsidRPr="00FB15AB" w:rsidRDefault="002B55FE" w:rsidP="002B77F5">
      <w:pPr>
        <w:rPr>
          <w:lang w:val="es-ES"/>
        </w:rPr>
      </w:pPr>
    </w:p>
    <w:p w:rsidR="002B55FE" w:rsidRPr="002B55FE" w:rsidRDefault="002B55FE" w:rsidP="002B77F5"/>
    <w:p w:rsidR="002B55FE" w:rsidRPr="002B55FE" w:rsidRDefault="002B55FE" w:rsidP="002B77F5"/>
    <w:p w:rsidR="00530E23" w:rsidRPr="002B55FE" w:rsidRDefault="00530E23" w:rsidP="002B77F5"/>
    <w:sectPr w:rsidR="00530E23" w:rsidRPr="002B55FE" w:rsidSect="00253E4C">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4709D"/>
    <w:multiLevelType w:val="multilevel"/>
    <w:tmpl w:val="995E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36288"/>
    <w:multiLevelType w:val="multilevel"/>
    <w:tmpl w:val="A7B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07670"/>
    <w:multiLevelType w:val="multilevel"/>
    <w:tmpl w:val="DA0C91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0376E4"/>
    <w:multiLevelType w:val="hybridMultilevel"/>
    <w:tmpl w:val="501E05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7E3163FB"/>
    <w:multiLevelType w:val="multilevel"/>
    <w:tmpl w:val="CCB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2654F"/>
    <w:rsid w:val="00034CB6"/>
    <w:rsid w:val="00037A48"/>
    <w:rsid w:val="000409D1"/>
    <w:rsid w:val="00065D92"/>
    <w:rsid w:val="0008570B"/>
    <w:rsid w:val="00093AAE"/>
    <w:rsid w:val="0009446E"/>
    <w:rsid w:val="000D4120"/>
    <w:rsid w:val="000F282D"/>
    <w:rsid w:val="00132F9C"/>
    <w:rsid w:val="00152391"/>
    <w:rsid w:val="00177EB0"/>
    <w:rsid w:val="001D3159"/>
    <w:rsid w:val="001D7445"/>
    <w:rsid w:val="001E4B20"/>
    <w:rsid w:val="001E638C"/>
    <w:rsid w:val="00204383"/>
    <w:rsid w:val="00223B60"/>
    <w:rsid w:val="002367AE"/>
    <w:rsid w:val="0024137E"/>
    <w:rsid w:val="00253E4C"/>
    <w:rsid w:val="00287868"/>
    <w:rsid w:val="00291574"/>
    <w:rsid w:val="002B31F3"/>
    <w:rsid w:val="002B55FE"/>
    <w:rsid w:val="002B77F5"/>
    <w:rsid w:val="002E3609"/>
    <w:rsid w:val="00302A91"/>
    <w:rsid w:val="00325203"/>
    <w:rsid w:val="003373E3"/>
    <w:rsid w:val="003725BE"/>
    <w:rsid w:val="00374AD0"/>
    <w:rsid w:val="00380236"/>
    <w:rsid w:val="003964A1"/>
    <w:rsid w:val="003B5C78"/>
    <w:rsid w:val="003B6180"/>
    <w:rsid w:val="003F702E"/>
    <w:rsid w:val="004315DF"/>
    <w:rsid w:val="00467FD3"/>
    <w:rsid w:val="004815F0"/>
    <w:rsid w:val="004829E3"/>
    <w:rsid w:val="0048728D"/>
    <w:rsid w:val="004B2BA5"/>
    <w:rsid w:val="004D39FC"/>
    <w:rsid w:val="004F23B3"/>
    <w:rsid w:val="005250C8"/>
    <w:rsid w:val="00530E23"/>
    <w:rsid w:val="0053231B"/>
    <w:rsid w:val="00532DBF"/>
    <w:rsid w:val="00537E3A"/>
    <w:rsid w:val="005511D2"/>
    <w:rsid w:val="005646EC"/>
    <w:rsid w:val="005A5D6D"/>
    <w:rsid w:val="005B6D14"/>
    <w:rsid w:val="006140DD"/>
    <w:rsid w:val="00614660"/>
    <w:rsid w:val="00665CDC"/>
    <w:rsid w:val="00671E54"/>
    <w:rsid w:val="006A2A34"/>
    <w:rsid w:val="006C48DE"/>
    <w:rsid w:val="006F0E95"/>
    <w:rsid w:val="006F37DE"/>
    <w:rsid w:val="0070439F"/>
    <w:rsid w:val="00707CB6"/>
    <w:rsid w:val="00731935"/>
    <w:rsid w:val="00732AE9"/>
    <w:rsid w:val="0074031C"/>
    <w:rsid w:val="00795816"/>
    <w:rsid w:val="007C41CF"/>
    <w:rsid w:val="007D38D2"/>
    <w:rsid w:val="008036FC"/>
    <w:rsid w:val="00820EEE"/>
    <w:rsid w:val="00836E61"/>
    <w:rsid w:val="00840DBF"/>
    <w:rsid w:val="00863F58"/>
    <w:rsid w:val="00883561"/>
    <w:rsid w:val="00886303"/>
    <w:rsid w:val="008A7E59"/>
    <w:rsid w:val="008D3B0E"/>
    <w:rsid w:val="008F2C11"/>
    <w:rsid w:val="00922707"/>
    <w:rsid w:val="00924176"/>
    <w:rsid w:val="009623FD"/>
    <w:rsid w:val="00972B6C"/>
    <w:rsid w:val="009924D6"/>
    <w:rsid w:val="009A05DD"/>
    <w:rsid w:val="009A3A78"/>
    <w:rsid w:val="009A4A58"/>
    <w:rsid w:val="009B5E0C"/>
    <w:rsid w:val="009E5901"/>
    <w:rsid w:val="00A02811"/>
    <w:rsid w:val="00A13EE3"/>
    <w:rsid w:val="00A227A5"/>
    <w:rsid w:val="00A2654F"/>
    <w:rsid w:val="00A44316"/>
    <w:rsid w:val="00A5375D"/>
    <w:rsid w:val="00AB585C"/>
    <w:rsid w:val="00AC5A72"/>
    <w:rsid w:val="00AD2130"/>
    <w:rsid w:val="00B06260"/>
    <w:rsid w:val="00B30CF6"/>
    <w:rsid w:val="00B310BD"/>
    <w:rsid w:val="00B3655F"/>
    <w:rsid w:val="00B37507"/>
    <w:rsid w:val="00B46034"/>
    <w:rsid w:val="00B562BE"/>
    <w:rsid w:val="00B66CF2"/>
    <w:rsid w:val="00B95AEF"/>
    <w:rsid w:val="00B9765F"/>
    <w:rsid w:val="00BD0DDC"/>
    <w:rsid w:val="00BE53A4"/>
    <w:rsid w:val="00C12EA7"/>
    <w:rsid w:val="00C34E58"/>
    <w:rsid w:val="00C764E5"/>
    <w:rsid w:val="00CC7618"/>
    <w:rsid w:val="00CE748C"/>
    <w:rsid w:val="00CF0199"/>
    <w:rsid w:val="00CF46E1"/>
    <w:rsid w:val="00D342F3"/>
    <w:rsid w:val="00D47E1A"/>
    <w:rsid w:val="00DB0841"/>
    <w:rsid w:val="00DC0BA3"/>
    <w:rsid w:val="00DC4FB6"/>
    <w:rsid w:val="00DD1026"/>
    <w:rsid w:val="00DD5074"/>
    <w:rsid w:val="00DD69E8"/>
    <w:rsid w:val="00E84A20"/>
    <w:rsid w:val="00E874B1"/>
    <w:rsid w:val="00ED1AAA"/>
    <w:rsid w:val="00EF2BEF"/>
    <w:rsid w:val="00F13237"/>
    <w:rsid w:val="00F773D5"/>
    <w:rsid w:val="00FB15AB"/>
    <w:rsid w:val="00FB3318"/>
    <w:rsid w:val="00FD6824"/>
    <w:rsid w:val="00FE0BD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BDE"/>
  </w:style>
  <w:style w:type="paragraph" w:styleId="Ttulo2">
    <w:name w:val="heading 2"/>
    <w:basedOn w:val="Normal"/>
    <w:next w:val="Normal"/>
    <w:link w:val="Ttulo2Car"/>
    <w:uiPriority w:val="9"/>
    <w:semiHidden/>
    <w:unhideWhenUsed/>
    <w:qFormat/>
    <w:rsid w:val="005250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 w:type="character" w:customStyle="1" w:styleId="Ttulo2Car">
    <w:name w:val="Título 2 Car"/>
    <w:basedOn w:val="Fuentedeprrafopredeter"/>
    <w:link w:val="Ttulo2"/>
    <w:uiPriority w:val="9"/>
    <w:semiHidden/>
    <w:rsid w:val="005250C8"/>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5250C8"/>
    <w:rPr>
      <w:b/>
      <w:bCs/>
    </w:rPr>
  </w:style>
  <w:style w:type="paragraph" w:styleId="NormalWeb">
    <w:name w:val="Normal (Web)"/>
    <w:basedOn w:val="Normal"/>
    <w:uiPriority w:val="99"/>
    <w:unhideWhenUsed/>
    <w:rsid w:val="005250C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5250C8"/>
    <w:rPr>
      <w:i/>
      <w:iCs/>
    </w:rPr>
  </w:style>
  <w:style w:type="paragraph" w:styleId="Prrafodelista">
    <w:name w:val="List Paragraph"/>
    <w:basedOn w:val="Normal"/>
    <w:uiPriority w:val="34"/>
    <w:qFormat/>
    <w:rsid w:val="0008570B"/>
    <w:pPr>
      <w:widowControl w:val="0"/>
      <w:autoSpaceDE w:val="0"/>
      <w:autoSpaceDN w:val="0"/>
      <w:spacing w:after="0" w:line="240" w:lineRule="auto"/>
      <w:ind w:left="1078" w:hanging="361"/>
    </w:pPr>
    <w:rPr>
      <w:rFonts w:ascii="Arial" w:eastAsia="Arial" w:hAnsi="Arial" w:cs="Arial"/>
      <w:lang w:val="es-ES" w:eastAsia="es-ES" w:bidi="es-ES"/>
    </w:rPr>
  </w:style>
  <w:style w:type="table" w:styleId="Tablaconcuadrcula">
    <w:name w:val="Table Grid"/>
    <w:basedOn w:val="Tablanormal"/>
    <w:uiPriority w:val="59"/>
    <w:rsid w:val="000857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65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54F"/>
    <w:rPr>
      <w:rFonts w:ascii="Tahoma" w:hAnsi="Tahoma" w:cs="Tahoma"/>
      <w:sz w:val="16"/>
      <w:szCs w:val="16"/>
    </w:rPr>
  </w:style>
  <w:style w:type="character" w:styleId="Hipervnculo">
    <w:name w:val="Hyperlink"/>
    <w:basedOn w:val="Fuentedeprrafopredeter"/>
    <w:uiPriority w:val="99"/>
    <w:unhideWhenUsed/>
    <w:rsid w:val="002B77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2631295">
      <w:bodyDiv w:val="1"/>
      <w:marLeft w:val="0"/>
      <w:marRight w:val="0"/>
      <w:marTop w:val="0"/>
      <w:marBottom w:val="0"/>
      <w:divBdr>
        <w:top w:val="none" w:sz="0" w:space="0" w:color="auto"/>
        <w:left w:val="none" w:sz="0" w:space="0" w:color="auto"/>
        <w:bottom w:val="none" w:sz="0" w:space="0" w:color="auto"/>
        <w:right w:val="none" w:sz="0" w:space="0" w:color="auto"/>
      </w:divBdr>
    </w:div>
    <w:div w:id="8588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tabilidadcestarosa@gmail.com" TargetMode="Externa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885D-CE87-4230-BB10-DC47D524A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1118</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Tito</cp:lastModifiedBy>
  <cp:revision>16</cp:revision>
  <dcterms:created xsi:type="dcterms:W3CDTF">2020-05-20T20:32:00Z</dcterms:created>
  <dcterms:modified xsi:type="dcterms:W3CDTF">2020-05-24T20:12:00Z</dcterms:modified>
</cp:coreProperties>
</file>